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Architecture Client/serveur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               60 Heures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0C0D8B" w:rsidRPr="004C28AF" w:rsidRDefault="000C0D8B" w:rsidP="000C0D8B">
      <w:pPr>
        <w:ind w:firstLine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Cette matière 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sert à préciser et à comprendre la technologie client/serveur après avoir introduit synthétiquement les divers éléments du processus client/serveur. Associer les explications techniques détaillées, illustrations et citations pertinentes à leur humour original. Ce cours fait le tour du monde du client/serveur : depuis les systèmes d'exploitation et de communication en passant par les architectures d'applications </w:t>
      </w: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incluant</w:t>
      </w:r>
      <w:r>
        <w:rPr>
          <w:rFonts w:asciiTheme="majorBidi" w:hAnsiTheme="majorBidi" w:cstheme="majorBidi"/>
          <w:sz w:val="24"/>
          <w:szCs w:val="24"/>
          <w:lang w:val="fr-FR"/>
        </w:rPr>
        <w:t>les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services web et la virtualisation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.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Concevoir et développer le modèle client/serveur à trois niveaux.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Examiner les capacités du C/S en relation avec les systèmes d’exploitations courant et futures comme Windows 2000 et UNIX (inclus Linux).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Comprendre les médiateurs et les appels de procédure à distance.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L'administration des applications client/ serveur.</w:t>
      </w:r>
    </w:p>
    <w:p w:rsidR="000C0D8B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L’architecture et l’implémentation des services web.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La virtualisation et ses différents modèles et techniques.</w:t>
      </w:r>
    </w:p>
    <w:p w:rsidR="000C0D8B" w:rsidRPr="004C28AF" w:rsidRDefault="000C0D8B" w:rsidP="000C0D8B">
      <w:pPr>
        <w:pStyle w:val="ListParagraph"/>
        <w:numPr>
          <w:ilvl w:val="0"/>
          <w:numId w:val="46"/>
        </w:numPr>
        <w:spacing w:after="0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Tous ces sujets sont traités selon des points de vue théorique et pratique, du concept aux acteurs industriels et à leurs produits.</w:t>
      </w:r>
    </w:p>
    <w:p w:rsidR="000C0D8B" w:rsidRPr="004C28AF" w:rsidRDefault="000C0D8B" w:rsidP="000C0D8B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Prérequis</w:t>
      </w:r>
    </w:p>
    <w:p w:rsidR="000C0D8B" w:rsidRPr="004C28AF" w:rsidRDefault="000C0D8B" w:rsidP="000C0D8B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Notions d’informatique.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Compétences et capacités (Résultats d’apprentissage)</w:t>
      </w:r>
    </w:p>
    <w:p w:rsidR="000C0D8B" w:rsidRPr="004C28AF" w:rsidRDefault="000C0D8B" w:rsidP="000C0D8B">
      <w:pPr>
        <w:ind w:firstLine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 la fin de ce cours, l’étudiant doit être capable d’analyser, concevoir, identifier les éléments d’une architecture client/serveur réseau et établir une connexion à distance sur des plateformes homogènes et hétérogènes.</w:t>
      </w:r>
    </w:p>
    <w:p w:rsidR="000C0D8B" w:rsidRPr="004C28AF" w:rsidRDefault="000C0D8B" w:rsidP="000C0D8B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488"/>
        <w:gridCol w:w="2610"/>
      </w:tblGrid>
      <w:tr w:rsidR="000C0D8B" w:rsidRPr="004C28AF" w:rsidTr="006B7947">
        <w:tc>
          <w:tcPr>
            <w:tcW w:w="7488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  <w:tc>
          <w:tcPr>
            <w:tcW w:w="2610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&lt;Exercices dirigés&gt;/&lt;Travaux pratiques&gt;</w:t>
            </w:r>
          </w:p>
        </w:tc>
      </w:tr>
      <w:tr w:rsidR="000C0D8B" w:rsidRPr="004C28AF" w:rsidTr="006B7947">
        <w:tc>
          <w:tcPr>
            <w:tcW w:w="7488" w:type="dxa"/>
          </w:tcPr>
          <w:p w:rsidR="000C0D8B" w:rsidRPr="004C28AF" w:rsidRDefault="000C0D8B" w:rsidP="000C0D8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1 : Introduction(14 heures)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Origine et historique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Avant 1980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années 1980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années 1990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bookmarkStart w:id="0" w:name="types"/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Présentationde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l'architecture d'un système client/serveur</w:t>
            </w:r>
            <w:bookmarkEnd w:id="0"/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Avantage de l’architecture client/serveur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Ressources centralisées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Meilleure sécurité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Administration au niveau serveur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Réseau évolutif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Inconvénients du modèle client/serveur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Coût élevé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 maillon faible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Fonctionnement d’un système client/serveur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Caractéristiques de l’approche C/S (Client/serveur)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Répartition hiérarchique des fonctions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composants d’un C/S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Une approche ouverte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Intérêt du C/S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contraintes dans l’entreprise</w:t>
            </w:r>
          </w:p>
          <w:p w:rsidR="000C0D8B" w:rsidRPr="004C28A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Contraintes externes</w:t>
            </w:r>
          </w:p>
          <w:p w:rsidR="000C0D8B" w:rsidRPr="004C28A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Contraintes internes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Mieux satisfaire le système d’information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coût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générations du C/S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première génération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deuxième génération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Présentation de l’architecture à deux niveaux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Présentation de l’architecture à trois niveaux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Comparaison des deux types d’architecture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L’architecture multi niveaux</w:t>
            </w:r>
          </w:p>
        </w:tc>
        <w:tc>
          <w:tcPr>
            <w:tcW w:w="2610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C0D8B" w:rsidTr="006B7947">
        <w:tc>
          <w:tcPr>
            <w:tcW w:w="7488" w:type="dxa"/>
          </w:tcPr>
          <w:p w:rsidR="000C0D8B" w:rsidRPr="004C28AF" w:rsidRDefault="000C0D8B" w:rsidP="000C0D8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Chapitre 2 : L’architecture Client/serveur (6 heures)</w:t>
            </w:r>
          </w:p>
          <w:p w:rsidR="000C0D8B" w:rsidRPr="004C28A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Techniques de dialogue C/S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Notions de base : Client, Serveur, Requête, Réponse.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Protocoles de type question-réponse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Assemblage et désassemblage des paramètres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Appel de procédure à distance (</w:t>
            </w:r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RPC : </w:t>
            </w:r>
            <w:proofErr w:type="spellStart"/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RemoteProcedure</w:t>
            </w:r>
            <w:proofErr w:type="spellEnd"/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Call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Souche (</w:t>
            </w:r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Stub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0C0D8B" w:rsidRPr="004C28A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Dialogue synchrone et asynchrone</w:t>
            </w:r>
          </w:p>
        </w:tc>
        <w:tc>
          <w:tcPr>
            <w:tcW w:w="2610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Application pratique sur la connexion à distance</w:t>
            </w:r>
          </w:p>
        </w:tc>
      </w:tr>
      <w:tr w:rsidR="000C0D8B" w:rsidRPr="004C28AF" w:rsidTr="006B7947">
        <w:tc>
          <w:tcPr>
            <w:tcW w:w="7488" w:type="dxa"/>
          </w:tcPr>
          <w:p w:rsidR="000C0D8B" w:rsidRPr="00A62ABF" w:rsidRDefault="000C0D8B" w:rsidP="000C0D8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Chapitre 3 : Les médiateurs (26</w:t>
            </w:r>
            <w:r w:rsidRPr="00A62AB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heures)</w:t>
            </w:r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Définition</w:t>
            </w:r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Objectifs des médiateurs</w:t>
            </w:r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fr-FR"/>
              </w:rPr>
              <w:t>Notions de bases du Service de Médiation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L’offre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 service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L’</w:t>
            </w:r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environnementd’exécution</w:t>
            </w:r>
            <w:proofErr w:type="spellEnd"/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La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requêted’exécution</w:t>
            </w:r>
            <w:proofErr w:type="spellEnd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tâche</w:t>
            </w:r>
            <w:proofErr w:type="spellEnd"/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fr-FR"/>
              </w:rPr>
              <w:t>Les outils de recherche et de localisation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Disponibilité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des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fournisseurs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 services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fr-FR"/>
              </w:rPr>
              <w:t>Actualité des caractéristiques des services proposés</w:t>
            </w:r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L’invocation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des services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L’invocationstatique</w:t>
            </w:r>
            <w:proofErr w:type="spellEnd"/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L’invocationdynamique</w:t>
            </w:r>
            <w:proofErr w:type="spellEnd"/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Architecture des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médiateurs</w:t>
            </w:r>
            <w:proofErr w:type="spellEnd"/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La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gestion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des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informations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Répertoire</w:t>
            </w:r>
            <w:proofErr w:type="spellEnd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Tâches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Serveurd’Offres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Serveurd’Environnements</w:t>
            </w:r>
            <w:proofErr w:type="spellEnd"/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La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gestion</w:t>
            </w:r>
            <w:proofErr w:type="spellEnd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 des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>traîtements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Composant</w:t>
            </w:r>
            <w:proofErr w:type="spellEnd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Médiation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Composant</w:t>
            </w:r>
            <w:proofErr w:type="spellEnd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Collecte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Composant</w:t>
            </w:r>
            <w:proofErr w:type="spellEnd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Décision</w:t>
            </w:r>
            <w:proofErr w:type="spellEnd"/>
          </w:p>
          <w:p w:rsidR="000C0D8B" w:rsidRPr="00A62ABF" w:rsidRDefault="000C0D8B" w:rsidP="000C0D8B">
            <w:pPr>
              <w:numPr>
                <w:ilvl w:val="3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en-GB"/>
              </w:rPr>
              <w:t xml:space="preserve">le </w:t>
            </w:r>
            <w:proofErr w:type="spellStart"/>
            <w:r w:rsidRPr="00A62ABF">
              <w:rPr>
                <w:rFonts w:asciiTheme="majorBidi" w:eastAsiaTheme="minorHAnsi" w:hAnsiTheme="majorBidi" w:cstheme="majorBidi"/>
                <w:i/>
                <w:iCs/>
                <w:color w:val="000000" w:themeColor="text1"/>
                <w:sz w:val="24"/>
                <w:szCs w:val="24"/>
                <w:lang w:val="en-GB"/>
              </w:rPr>
              <w:t>Composantd’Exécution</w:t>
            </w:r>
            <w:proofErr w:type="spellEnd"/>
          </w:p>
          <w:p w:rsidR="000C0D8B" w:rsidRPr="00A62ABF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Theme="minorHAnsi" w:hAnsiTheme="majorBidi" w:cstheme="majorBidi"/>
                <w:color w:val="000000" w:themeColor="text1"/>
                <w:sz w:val="24"/>
                <w:szCs w:val="24"/>
                <w:lang w:val="fr-FR"/>
              </w:rPr>
              <w:t>Fonctionnalités principales du Service de Médiation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Procédure de connexion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Préparation des requêtes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Exécution des requêtes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Récupération des résultats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Gestion de cache de résultats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Gestion de cache des requêtes</w:t>
            </w:r>
          </w:p>
          <w:p w:rsidR="000C0D8B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Procédure de déconnexion</w:t>
            </w:r>
          </w:p>
          <w:p w:rsidR="000C0D8B" w:rsidRPr="00121A38" w:rsidRDefault="000C0D8B" w:rsidP="000C0D8B">
            <w:pPr>
              <w:numPr>
                <w:ilvl w:val="1"/>
                <w:numId w:val="53"/>
              </w:numPr>
              <w:spacing w:before="100" w:beforeAutospacing="1" w:after="100" w:afterAutospacing="1"/>
              <w:ind w:righ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121A3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Familles des médiateurs (8 heures)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RPC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Object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Message Oriented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Component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Service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Database middleware</w:t>
            </w:r>
          </w:p>
          <w:p w:rsidR="000C0D8B" w:rsidRPr="00A62ABF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Persistency middleware</w:t>
            </w:r>
          </w:p>
          <w:p w:rsidR="000C0D8B" w:rsidRPr="00BF3EA2" w:rsidRDefault="000C0D8B" w:rsidP="000C0D8B">
            <w:pPr>
              <w:numPr>
                <w:ilvl w:val="2"/>
                <w:numId w:val="53"/>
              </w:numPr>
              <w:spacing w:before="100" w:beforeAutospacing="1" w:after="100" w:afterAutospacing="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A62AB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Transactional middleware</w:t>
            </w:r>
          </w:p>
        </w:tc>
        <w:tc>
          <w:tcPr>
            <w:tcW w:w="2610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C0D8B" w:rsidTr="006B7947">
        <w:trPr>
          <w:trHeight w:val="1545"/>
        </w:trPr>
        <w:tc>
          <w:tcPr>
            <w:tcW w:w="7488" w:type="dxa"/>
            <w:tcBorders>
              <w:top w:val="single" w:sz="4" w:space="0" w:color="auto"/>
            </w:tcBorders>
          </w:tcPr>
          <w:p w:rsidR="000C0D8B" w:rsidRPr="00491AAE" w:rsidRDefault="000C0D8B" w:rsidP="000C0D8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lastRenderedPageBreak/>
              <w:t xml:space="preserve">Chapitre 4 : </w:t>
            </w:r>
            <w:r w:rsidRPr="00491AA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Services Web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(6 heures)</w:t>
            </w:r>
          </w:p>
          <w:p w:rsidR="000C0D8B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Origines</w:t>
            </w:r>
          </w:p>
          <w:p w:rsidR="000C0D8B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Définition et architecture 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Définition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Architecture orientée service</w:t>
            </w:r>
          </w:p>
          <w:p w:rsidR="000C0D8B" w:rsidRPr="00491AAE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</w:t>
            </w:r>
            <w:proofErr w:type="spellStart"/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standars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 (XML, SOAP, WSDL, UDDI)</w:t>
            </w:r>
          </w:p>
          <w:p w:rsidR="000C0D8B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WSDL : Web Service description </w:t>
            </w:r>
            <w:proofErr w:type="spellStart"/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Language</w:t>
            </w:r>
            <w:proofErr w:type="spellEnd"/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Rôle du langage WSDL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Web service description </w:t>
            </w:r>
            <w:proofErr w:type="spellStart"/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using</w:t>
            </w:r>
            <w:proofErr w:type="spellEnd"/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 WSDL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Structure d’un document WSDL</w:t>
            </w:r>
          </w:p>
          <w:p w:rsidR="000C0D8B" w:rsidRPr="00A3181F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Exemples</w:t>
            </w:r>
            <w:proofErr w:type="spellEnd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 : </w:t>
            </w:r>
            <w:proofErr w:type="spellStart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Annuaire,WSDL</w:t>
            </w:r>
            <w:proofErr w:type="spellEnd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 &lt;definition&gt;, WSDL : &lt;types&gt;, WSDL : &lt;message&gt;, WSDL : &lt;</w:t>
            </w:r>
            <w:proofErr w:type="spellStart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porttype</w:t>
            </w:r>
            <w:proofErr w:type="spellEnd"/>
            <w:r w:rsidRPr="00A318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&gt;,WSDL : &lt;binding&gt;, WSDL : &lt;service&gt;</w:t>
            </w:r>
          </w:p>
          <w:p w:rsidR="000C0D8B" w:rsidRPr="00491AAE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Conclusion</w:t>
            </w:r>
          </w:p>
          <w:p w:rsidR="000C0D8B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SOAP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Définition</w:t>
            </w:r>
          </w:p>
          <w:p w:rsidR="000C0D8B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Structure d’un message SOAP</w:t>
            </w:r>
          </w:p>
          <w:p w:rsidR="000C0D8B" w:rsidRDefault="000C0D8B" w:rsidP="000C0D8B">
            <w:pPr>
              <w:pStyle w:val="ListParagraph"/>
              <w:numPr>
                <w:ilvl w:val="3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SOAP : Message</w:t>
            </w:r>
          </w:p>
          <w:p w:rsidR="000C0D8B" w:rsidRDefault="000C0D8B" w:rsidP="000C0D8B">
            <w:pPr>
              <w:pStyle w:val="ListParagraph"/>
              <w:numPr>
                <w:ilvl w:val="3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L’enveloppe et l’entête</w:t>
            </w:r>
          </w:p>
          <w:p w:rsidR="000C0D8B" w:rsidRDefault="000C0D8B" w:rsidP="000C0D8B">
            <w:pPr>
              <w:pStyle w:val="ListParagraph"/>
              <w:numPr>
                <w:ilvl w:val="3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Le corps : Appel</w:t>
            </w:r>
          </w:p>
          <w:p w:rsidR="000C0D8B" w:rsidRPr="00491AAE" w:rsidRDefault="000C0D8B" w:rsidP="000C0D8B">
            <w:pPr>
              <w:pStyle w:val="ListParagraph"/>
              <w:numPr>
                <w:ilvl w:val="3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Le corps : réponse</w:t>
            </w:r>
          </w:p>
          <w:p w:rsidR="000C0D8B" w:rsidRPr="00491AAE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UDDI</w:t>
            </w:r>
          </w:p>
          <w:p w:rsidR="000C0D8B" w:rsidRPr="00491AAE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Définition</w:t>
            </w:r>
          </w:p>
          <w:p w:rsidR="000C0D8B" w:rsidRPr="00491AAE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Les pages d’UDDI</w:t>
            </w:r>
          </w:p>
          <w:p w:rsidR="000C0D8B" w:rsidRPr="00491AAE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491AA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Exemple : Naviguer dans une base de services web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7488" w:type="dxa"/>
          </w:tcPr>
          <w:p w:rsidR="000C0D8B" w:rsidRPr="00853052" w:rsidRDefault="000C0D8B" w:rsidP="000C0D8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Chapitre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5</w:t>
            </w:r>
            <w:r w:rsidRPr="0085305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 : La Virtualisation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(8 heures)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Introduction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Définition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lastRenderedPageBreak/>
              <w:t xml:space="preserve">Les domaines de la 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La virtualisation d’applications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La virtualisation de réseaux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La virtualisation de stockage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La virtualisation de serveurs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avantages de la 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inconvénients de la 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principes de la virtualisation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(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es </w:t>
            </w: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cinqgén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érations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)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Vocabulaire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(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Critère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s :d’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équivalence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, d’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br w:type="column"/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efficaci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té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,</w:t>
            </w:r>
            <w:r w:rsidRPr="00A3181F">
              <w:rPr>
                <w:lang w:val="fr-FR"/>
              </w:rPr>
              <w:t xml:space="preserve"> de </w:t>
            </w: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contrôle des ressources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)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Prérequis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Théorèmes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Composants d’un hyperviseur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</w:t>
            </w:r>
            <w:proofErr w:type="spellStart"/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problèmesliés</w:t>
            </w:r>
            <w:proofErr w:type="spellEnd"/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 à la 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La virtualisation matérielle</w:t>
            </w:r>
          </w:p>
          <w:p w:rsidR="000C0D8B" w:rsidRPr="00853052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Les différents types de 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Machine virtuelle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Para-virtualisation </w:t>
            </w:r>
          </w:p>
          <w:p w:rsidR="000C0D8B" w:rsidRPr="00853052" w:rsidRDefault="000C0D8B" w:rsidP="000C0D8B">
            <w:pPr>
              <w:pStyle w:val="ListParagraph"/>
              <w:numPr>
                <w:ilvl w:val="2"/>
                <w:numId w:val="53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 xml:space="preserve">Virtualisation au niveau du système d’exploitation </w:t>
            </w:r>
          </w:p>
          <w:p w:rsidR="000C0D8B" w:rsidRPr="009D08A3" w:rsidRDefault="000C0D8B" w:rsidP="000C0D8B">
            <w:pPr>
              <w:pStyle w:val="ListParagraph"/>
              <w:numPr>
                <w:ilvl w:val="1"/>
                <w:numId w:val="53"/>
              </w:numP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fr-FR"/>
              </w:rPr>
            </w:pPr>
            <w:r w:rsidRPr="0085305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fr-FR"/>
              </w:rPr>
              <w:t>Conclusion</w:t>
            </w:r>
          </w:p>
        </w:tc>
        <w:tc>
          <w:tcPr>
            <w:tcW w:w="2610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lastRenderedPageBreak/>
        <w:t>Méthodes d’enseignement</w:t>
      </w:r>
    </w:p>
    <w:p w:rsidR="000C0D8B" w:rsidRPr="004C28AF" w:rsidRDefault="000C0D8B" w:rsidP="000C0D8B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Ce cours est illustré par des applications, des exemples et des cas pratiques. Un projet permettra de mieux appréhender et comprendre les différentes notions introduites.</w:t>
      </w:r>
    </w:p>
    <w:p w:rsidR="000C0D8B" w:rsidRPr="004C28AF" w:rsidRDefault="000C0D8B" w:rsidP="000C0D8B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Il est important de souligner la nécessité de se concentrer sur l’aspect technique des réseaux et des équipements ainsi que sur l’aspect de leur utilisation.</w:t>
      </w:r>
    </w:p>
    <w:p w:rsidR="000C0D8B" w:rsidRPr="004C28AF" w:rsidRDefault="000C0D8B" w:rsidP="000C0D8B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La terminologie et le lexique utilisés dans les télécommunications doivent être introduits et expliqués au fur et à mesure de l’avancement du cours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0C0D8B" w:rsidRPr="004C28AF" w:rsidRDefault="000C0D8B" w:rsidP="000C0D8B">
      <w:pPr>
        <w:numPr>
          <w:ilvl w:val="0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Client/Server guide de survie </w:t>
      </w:r>
    </w:p>
    <w:p w:rsidR="000C0D8B" w:rsidRPr="004C28AF" w:rsidRDefault="000C0D8B" w:rsidP="000C0D8B">
      <w:pPr>
        <w:numPr>
          <w:ilvl w:val="1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Auteur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:R. ORFALI, D. HARKEY, J. EDWARDS</w:t>
      </w:r>
    </w:p>
    <w:p w:rsidR="000C0D8B" w:rsidRPr="004C28AF" w:rsidRDefault="000C0D8B" w:rsidP="000C0D8B">
      <w:pPr>
        <w:numPr>
          <w:ilvl w:val="1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Éditeur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 xml:space="preserve">: International Thomson </w:t>
      </w:r>
      <w:proofErr w:type="spellStart"/>
      <w:r w:rsidRPr="004C28AF">
        <w:rPr>
          <w:rFonts w:asciiTheme="majorBidi" w:hAnsiTheme="majorBidi" w:cstheme="majorBidi"/>
          <w:sz w:val="24"/>
          <w:szCs w:val="24"/>
          <w:lang w:val="fr-FR"/>
        </w:rPr>
        <w:t>Publishing</w:t>
      </w:r>
      <w:proofErr w:type="spellEnd"/>
    </w:p>
    <w:p w:rsidR="000C0D8B" w:rsidRPr="004C28AF" w:rsidRDefault="000C0D8B" w:rsidP="000C0D8B">
      <w:pPr>
        <w:numPr>
          <w:ilvl w:val="0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Le client serveur </w:t>
      </w:r>
    </w:p>
    <w:p w:rsidR="000C0D8B" w:rsidRPr="004C28AF" w:rsidRDefault="000C0D8B" w:rsidP="000C0D8B">
      <w:pPr>
        <w:numPr>
          <w:ilvl w:val="1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Auteur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: G. et O. GARDARIN</w:t>
      </w:r>
    </w:p>
    <w:p w:rsidR="000C0D8B" w:rsidRPr="004C28AF" w:rsidRDefault="000C0D8B" w:rsidP="000C0D8B">
      <w:pPr>
        <w:numPr>
          <w:ilvl w:val="0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Client-Serveur</w:t>
      </w:r>
    </w:p>
    <w:p w:rsidR="000C0D8B" w:rsidRPr="004C28AF" w:rsidRDefault="000C0D8B" w:rsidP="000C0D8B">
      <w:pPr>
        <w:numPr>
          <w:ilvl w:val="1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Auteur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 xml:space="preserve">: S. Miranda, A. </w:t>
      </w:r>
      <w:proofErr w:type="spellStart"/>
      <w:r w:rsidRPr="004C28AF">
        <w:rPr>
          <w:rFonts w:asciiTheme="majorBidi" w:hAnsiTheme="majorBidi" w:cstheme="majorBidi"/>
          <w:sz w:val="24"/>
          <w:szCs w:val="24"/>
          <w:lang w:val="fr-FR"/>
        </w:rPr>
        <w:t>Ruols</w:t>
      </w:r>
      <w:proofErr w:type="spellEnd"/>
    </w:p>
    <w:p w:rsidR="000C0D8B" w:rsidRPr="004C28AF" w:rsidRDefault="000C0D8B" w:rsidP="000C0D8B">
      <w:pPr>
        <w:numPr>
          <w:ilvl w:val="1"/>
          <w:numId w:val="52"/>
        </w:numPr>
        <w:spacing w:after="0" w:line="240" w:lineRule="auto"/>
        <w:ind w:right="108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Éditeur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: Eyrolles</w:t>
      </w:r>
    </w:p>
    <w:p w:rsidR="000C0D8B" w:rsidRPr="00121A38" w:rsidRDefault="000C0D8B" w:rsidP="000C0D8B">
      <w:pPr>
        <w:numPr>
          <w:ilvl w:val="0"/>
          <w:numId w:val="52"/>
        </w:numPr>
        <w:spacing w:after="0" w:line="240" w:lineRule="auto"/>
        <w:ind w:right="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121A38">
        <w:rPr>
          <w:rFonts w:asciiTheme="majorBidi" w:hAnsiTheme="majorBidi" w:cstheme="majorBidi"/>
          <w:sz w:val="24"/>
          <w:szCs w:val="24"/>
          <w:lang w:val="fr-FR"/>
        </w:rPr>
        <w:t xml:space="preserve">Hubert </w:t>
      </w:r>
      <w:proofErr w:type="spellStart"/>
      <w:r w:rsidRPr="00121A38">
        <w:rPr>
          <w:rFonts w:asciiTheme="majorBidi" w:hAnsiTheme="majorBidi" w:cstheme="majorBidi"/>
          <w:sz w:val="24"/>
          <w:szCs w:val="24"/>
          <w:lang w:val="fr-FR"/>
        </w:rPr>
        <w:t>Kadima</w:t>
      </w:r>
      <w:proofErr w:type="spellEnd"/>
      <w:r w:rsidRPr="00121A38">
        <w:rPr>
          <w:rFonts w:asciiTheme="majorBidi" w:hAnsiTheme="majorBidi" w:cstheme="majorBidi"/>
          <w:sz w:val="24"/>
          <w:szCs w:val="24"/>
          <w:lang w:val="fr-FR"/>
        </w:rPr>
        <w:t xml:space="preserve"> et Valérie </w:t>
      </w:r>
      <w:proofErr w:type="spellStart"/>
      <w:r w:rsidRPr="00121A38">
        <w:rPr>
          <w:rFonts w:asciiTheme="majorBidi" w:hAnsiTheme="majorBidi" w:cstheme="majorBidi"/>
          <w:sz w:val="24"/>
          <w:szCs w:val="24"/>
          <w:lang w:val="fr-FR"/>
        </w:rPr>
        <w:t>Monfort</w:t>
      </w:r>
      <w:proofErr w:type="spellEnd"/>
      <w:r w:rsidRPr="00121A38">
        <w:rPr>
          <w:rFonts w:asciiTheme="majorBidi" w:hAnsiTheme="majorBidi" w:cstheme="majorBidi"/>
          <w:sz w:val="24"/>
          <w:szCs w:val="24"/>
          <w:lang w:val="fr-FR"/>
        </w:rPr>
        <w:t xml:space="preserve"> : Les services Web: techniques, démarches </w:t>
      </w:r>
      <w:proofErr w:type="spellStart"/>
      <w:r w:rsidRPr="00121A38">
        <w:rPr>
          <w:rFonts w:asciiTheme="majorBidi" w:hAnsiTheme="majorBidi" w:cstheme="majorBidi"/>
          <w:sz w:val="24"/>
          <w:szCs w:val="24"/>
          <w:lang w:val="fr-FR"/>
        </w:rPr>
        <w:t>etoutils</w:t>
      </w:r>
      <w:proofErr w:type="spellEnd"/>
      <w:r w:rsidRPr="00121A3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proofErr w:type="spellStart"/>
      <w:r w:rsidRPr="00121A38">
        <w:rPr>
          <w:rFonts w:asciiTheme="majorBidi" w:hAnsiTheme="majorBidi" w:cstheme="majorBidi"/>
          <w:sz w:val="24"/>
          <w:szCs w:val="24"/>
          <w:lang w:val="fr-FR"/>
        </w:rPr>
        <w:t>Dunod</w:t>
      </w:r>
      <w:proofErr w:type="spellEnd"/>
      <w:r w:rsidRPr="00121A38">
        <w:rPr>
          <w:rFonts w:asciiTheme="majorBidi" w:hAnsiTheme="majorBidi" w:cstheme="majorBidi"/>
          <w:sz w:val="24"/>
          <w:szCs w:val="24"/>
          <w:lang w:val="fr-FR"/>
        </w:rPr>
        <w:t>, Paris, 2003</w:t>
      </w:r>
    </w:p>
    <w:p w:rsidR="000C0D8B" w:rsidRDefault="000C0D8B" w:rsidP="005E05B1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</w:p>
    <w:p w:rsidR="000C0D8B" w:rsidRDefault="000C0D8B" w:rsidP="005E05B1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</w:p>
    <w:p w:rsidR="000C0D8B" w:rsidRDefault="000C0D8B" w:rsidP="005E05B1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</w:p>
    <w:p w:rsidR="000C0D8B" w:rsidRDefault="000C0D8B" w:rsidP="005E05B1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bookmarkStart w:id="1" w:name="_GoBack"/>
      <w:bookmarkEnd w:id="1"/>
    </w:p>
    <w:sectPr w:rsidR="000C0D8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62F55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C397E"/>
    <w:rsid w:val="008F2F0F"/>
    <w:rsid w:val="008F736A"/>
    <w:rsid w:val="008F758E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24B3"/>
    <w:rsid w:val="00AC443D"/>
    <w:rsid w:val="00AD3D04"/>
    <w:rsid w:val="00AD5BE2"/>
    <w:rsid w:val="00B2244A"/>
    <w:rsid w:val="00B26A63"/>
    <w:rsid w:val="00B363E0"/>
    <w:rsid w:val="00B43D11"/>
    <w:rsid w:val="00B62860"/>
    <w:rsid w:val="00B64736"/>
    <w:rsid w:val="00B80D09"/>
    <w:rsid w:val="00B80FD5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133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10D53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C96978-14B5-48D1-A86C-E97F8A74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34</cp:revision>
  <cp:lastPrinted>2014-03-13T14:03:00Z</cp:lastPrinted>
  <dcterms:created xsi:type="dcterms:W3CDTF">2014-02-08T14:33:00Z</dcterms:created>
  <dcterms:modified xsi:type="dcterms:W3CDTF">2019-07-26T05:59:00Z</dcterms:modified>
</cp:coreProperties>
</file>